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andard"/>
        <w:jc w:val="left"/>
        <w:rPr/>
      </w:pPr>
      <w:r>
        <mc:AlternateContent>
          <mc:Choice Requires="wps">
            <w:drawing>
              <wp:anchor behindDoc="0" distT="0" distB="0" distL="0" distR="150" simplePos="0" locked="0" layoutInCell="0" allowOverlap="1" relativeHeight="2" wp14:anchorId="3E2A210E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3630" cy="223520"/>
                <wp:effectExtent l="0" t="0" r="3660" b="792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40" cy="22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stroked="f" style="position:absolute;margin-left:3.45pt;margin-top:2pt;width:86.8pt;height:17.5pt;mso-wrap-style:none;v-text-anchor:middle" wp14:anchorId="3E2A210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FF0000"/>
          <w:sz w:val="24"/>
          <w:szCs w:val="24"/>
        </w:rPr>
        <w:tab/>
      </w:r>
      <w:r>
        <w:rPr>
          <w:rFonts w:ascii="DejaVu Serif Condensed" w:hAnsi="DejaVu Serif Condensed"/>
          <w:i w:val="false"/>
          <w:sz w:val="28"/>
          <w:szCs w:val="28"/>
        </w:rPr>
        <w:t xml:space="preserve">                          </w:t>
      </w:r>
    </w:p>
    <w:p>
      <w:pPr>
        <w:pStyle w:val="Contenudetableau"/>
        <w:jc w:val="left"/>
        <w:rPr/>
      </w:pPr>
      <w:r>
        <w:rPr>
          <w:rFonts w:ascii="DejaVu Serif Condensed" w:hAnsi="DejaVu Serif Condensed"/>
          <w:b w:val="false"/>
          <w:bCs w:val="false"/>
          <w:i w:val="false"/>
          <w:sz w:val="28"/>
          <w:szCs w:val="28"/>
        </w:rPr>
        <w:t xml:space="preserve">                                     </w:t>
      </w:r>
      <w:r>
        <w:rPr>
          <w:rFonts w:ascii="DejaVu Serif Condensed" w:hAnsi="DejaVu Serif Condensed"/>
          <w:b w:val="false"/>
          <w:bCs w:val="false"/>
          <w:i w:val="false"/>
          <w:sz w:val="28"/>
          <w:szCs w:val="28"/>
          <w:u w:val="single"/>
        </w:rPr>
        <w:t xml:space="preserve">Budget prévisionnel </w:t>
      </w:r>
    </w:p>
    <w:p>
      <w:pPr>
        <w:pStyle w:val="Contenudetableau"/>
        <w:rPr/>
      </w:pPr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>Année 2022</w:t>
      </w:r>
      <w:bookmarkStart w:id="0" w:name="_GoBack"/>
      <w:bookmarkEnd w:id="0"/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  <w:shd w:fill="CCCCFF" w:val="clear"/>
        </w:rPr>
        <w:t>……….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false"/>
          <w:bCs w:val="false"/>
          <w:iCs/>
          <w:sz w:val="20"/>
          <w:szCs w:val="20"/>
          <w:shd w:fill="CCCCFF" w:val="clear"/>
        </w:rPr>
        <w:t>…</w:t>
      </w:r>
    </w:p>
    <w:p>
      <w:pPr>
        <w:pStyle w:val="Contenudetableau"/>
        <w:rPr>
          <w:rFonts w:ascii="DejaVu Serif Condensed" w:hAnsi="DejaVu Serif Condensed"/>
          <w:b w:val="false"/>
          <w:b w:val="false"/>
          <w:bCs w:val="false"/>
          <w:iCs/>
          <w:color w:val="FF0000"/>
          <w:sz w:val="20"/>
          <w:szCs w:val="20"/>
          <w:u w:val="single"/>
        </w:rPr>
      </w:pPr>
      <w:r>
        <w:rPr>
          <w:rFonts w:ascii="DejaVu Serif Condensed" w:hAnsi="DejaVu Serif Condensed"/>
          <w:b w:val="false"/>
          <w:bCs w:val="false"/>
          <w:iCs/>
          <w:color w:val="FF0000"/>
          <w:sz w:val="20"/>
          <w:szCs w:val="20"/>
          <w:u w:val="single"/>
        </w:rPr>
      </w:r>
    </w:p>
    <w:p>
      <w:pPr>
        <w:pStyle w:val="Contenudetableau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Standard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tbl>
      <w:tblPr>
        <w:tblW w:w="10424" w:type="dxa"/>
        <w:jc w:val="left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075"/>
        <w:gridCol w:w="1135"/>
        <w:gridCol w:w="2"/>
        <w:gridCol w:w="4075"/>
        <w:gridCol w:w="1136"/>
      </w:tblGrid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CHARGES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Montant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sz w:val="20"/>
                <w:szCs w:val="20"/>
              </w:rPr>
              <w:t>Montant</w:t>
            </w:r>
          </w:p>
        </w:tc>
      </w:tr>
      <w:tr>
        <w:trPr/>
        <w:tc>
          <w:tcPr>
            <w:tcW w:w="5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66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66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>
        <w:trPr>
          <w:trHeight w:val="48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Achats matières et fournitures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fournitures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rFonts w:ascii="Liberation Sans" w:hAnsi="Liberation Sans"/>
                <w:i w:val="false"/>
                <w:color w:val="000066"/>
                <w:sz w:val="16"/>
                <w:szCs w:val="16"/>
              </w:rPr>
              <w:footnoteReference w:id="2"/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48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Etat : préciser le(s) ministère(s), directions ou services déconcentrés sollicités cf 1ére page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  <w:t xml:space="preserve">       </w:t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Entretien et réparation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Documentation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Conseil.s Régional(aux)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Formation professionnelle 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Rémunérations intermédiaires et honoraires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Conseil.s Départemental(aux)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Déplacements, missions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-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Services bancaires, autres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Impôts et taxes sur rémunération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  <w:highlight w:val="blue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  <w:highlight w:val="blue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impôts et taxes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  <w:highlight w:val="blue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  <w:highlight w:val="blue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Fonds européens (FSE, FEDER, etc)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Rémunération des personnels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L’agence de services et de paiement (emplois aidés)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Autres établissements publics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b w:val="false"/>
                <w:bCs w:val="false"/>
                <w:i w:val="false"/>
                <w:color w:val="auto"/>
                <w:sz w:val="14"/>
                <w:szCs w:val="14"/>
              </w:rPr>
              <w:t>Autres charges de personnel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Aides privées (fondation)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  <w:t xml:space="preserve">      </w:t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756. Cotisations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      </w:t>
            </w:r>
          </w:p>
        </w:tc>
      </w:tr>
      <w:tr>
        <w:trPr>
          <w:trHeight w:val="261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  <w:t>758 Dons manuels - Mécénat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false"/>
                <w:color w:val="auto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FF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false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color w:val="auto"/>
                <w:sz w:val="16"/>
                <w:szCs w:val="16"/>
              </w:rPr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Liberation Sans" w:hAnsi="Liberation Sans"/>
                <w:i w:val="false"/>
                <w:i w:val="false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false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rPr>
                <w:rFonts w:ascii="Liberation Sans" w:hAnsi="Liberation Sans"/>
                <w:i w:val="false"/>
                <w:i w:val="false"/>
                <w:iCs/>
                <w:sz w:val="16"/>
                <w:szCs w:val="16"/>
              </w:rPr>
            </w:pP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  <w:t xml:space="preserve"> </w:t>
            </w:r>
            <w:r>
              <w:rPr>
                <w:rFonts w:ascii="Liberation Sans" w:hAnsi="Liberation Sans"/>
                <w:i w:val="false"/>
                <w:iCs/>
                <w:sz w:val="16"/>
                <w:szCs w:val="16"/>
              </w:rPr>
              <w:t>4820</w:t>
            </w:r>
          </w:p>
        </w:tc>
      </w:tr>
    </w:tbl>
    <w:p>
      <w:pPr>
        <w:pStyle w:val="Standard"/>
        <w:jc w:val="left"/>
        <w:rPr/>
      </w:pPr>
      <w:r>
        <w:rPr/>
        <mc:AlternateContent>
          <mc:Choice Requires="wps">
            <w:drawing>
              <wp:anchor behindDoc="0" distT="0" distB="225" distL="0" distR="0" simplePos="0" locked="0" layoutInCell="0" allowOverlap="1" relativeHeight="4" wp14:anchorId="2EDBB5B4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9690" cy="213995"/>
                <wp:effectExtent l="0" t="0" r="6540" b="16920"/>
                <wp:wrapNone/>
                <wp:docPr id="3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120" cy="213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1" path="m0,0l-2147483645,0l-2147483645,-2147483646l0,-2147483646xe" stroked="f" style="position:absolute;margin-left:178.9pt;margin-top:479.65pt;width:104.6pt;height:16.75pt;mso-wrap-style:none;v-text-anchor:middle" wp14:anchorId="2EDBB5B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2"/>
      <w:footnotePr>
        <w:numFmt w:val="decimal"/>
      </w:footnotePr>
      <w:type w:val="nextPage"/>
      <w:pgSz w:w="11906" w:h="16838"/>
      <w:pgMar w:left="720" w:right="720" w:header="0" w:top="567" w:footer="720" w:bottom="77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erif 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>
        <w:rFonts w:ascii="DejaVu Serif Condensed" w:hAnsi="DejaVu Serif Condensed"/>
        <w:i w:val="false"/>
        <w:i w:val="false"/>
        <w:color w:val="000000"/>
        <w:sz w:val="16"/>
        <w:szCs w:val="16"/>
      </w:rPr>
    </w:pPr>
    <w:r>
      <w:rPr>
        <w:rFonts w:ascii="DejaVu Serif Condensed" w:hAnsi="DejaVu Serif Condensed"/>
        <w:i w:val="false"/>
        <w:color w:val="000000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Caractresdenumrotation" w:customStyle="1">
    <w:name w:val="Caractères de numérotation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Puces" w:customStyle="1">
    <w:name w:val="Puces"/>
    <w:qFormat/>
    <w:rPr>
      <w:rFonts w:ascii="OpenSymbol" w:hAnsi="OpenSymbol" w:eastAsia="OpenSymbol" w:cs="OpenSymbol"/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Gd" w:customStyle="1">
    <w:name w:val="gd"/>
    <w:basedOn w:val="DefaultParagraphFont"/>
    <w:qFormat/>
    <w:rsid w:val="001b406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076f1"/>
    <w:rPr>
      <w:rFonts w:ascii="Segoe UI" w:hAnsi="Segoe UI"/>
      <w:sz w:val="18"/>
      <w:szCs w:val="16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3485a"/>
    <w:rPr>
      <w:rFonts w:ascii="Arial" w:hAnsi="Arial" w:eastAsia="Arial" w:cs="Arial"/>
      <w:b/>
      <w:bCs/>
      <w:i/>
      <w:color w:val="000080"/>
      <w:spacing w:val="-2"/>
      <w:sz w:val="56"/>
      <w:szCs w:val="56"/>
    </w:rPr>
  </w:style>
  <w:style w:type="character" w:styleId="EntteCar" w:customStyle="1">
    <w:name w:val="En-tête Car"/>
    <w:basedOn w:val="DefaultParagraphFont"/>
    <w:uiPriority w:val="99"/>
    <w:qFormat/>
    <w:rsid w:val="00ea61ce"/>
    <w:rPr>
      <w:rFonts w:ascii="Arial" w:hAnsi="Arial" w:eastAsia="Arial" w:cs="Arial"/>
      <w:b/>
      <w:bCs/>
      <w:i/>
      <w:color w:val="000080"/>
      <w:spacing w:val="-2"/>
      <w:sz w:val="56"/>
      <w:szCs w:val="56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4f723b"/>
    <w:rPr>
      <w:sz w:val="20"/>
      <w:szCs w:val="18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widowControl w:val="false"/>
      <w:bidi w:val="0"/>
      <w:jc w:val="left"/>
    </w:pPr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sz w:val="24"/>
    </w:rPr>
  </w:style>
  <w:style w:type="paragraph" w:styleId="Titre1" w:customStyle="1">
    <w:name w:val="Titre1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fr-F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Cs/>
      <w:color w:val="auto"/>
      <w:kern w:val="2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/>
      <w:bidi w:val="0"/>
      <w:spacing w:before="0" w:after="0"/>
      <w:jc w:val="center"/>
    </w:pPr>
    <w:rPr>
      <w:rFonts w:ascii="Arial" w:hAnsi="Arial" w:eastAsia="Arial" w:cs="Arial"/>
      <w:b/>
      <w:bCs/>
      <w:i/>
      <w:color w:val="000080"/>
      <w:spacing w:val="-2"/>
      <w:kern w:val="2"/>
      <w:sz w:val="56"/>
      <w:szCs w:val="56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reprincipal">
    <w:name w:val="Title"/>
    <w:basedOn w:val="Titre1"/>
    <w:next w:val="Textbody"/>
    <w:uiPriority w:val="10"/>
    <w:qFormat/>
    <w:pPr/>
    <w:rPr>
      <w:sz w:val="56"/>
      <w:szCs w:val="56"/>
    </w:rPr>
  </w:style>
  <w:style w:type="paragraph" w:styleId="Entte">
    <w:name w:val="Header"/>
    <w:basedOn w:val="Standard"/>
    <w:uiPriority w:val="9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Stylepardfaut2" w:customStyle="1">
    <w:name w:val="Style par défaut 2"/>
    <w:basedOn w:val="Standard"/>
    <w:qFormat/>
    <w:pPr/>
    <w:rPr/>
  </w:style>
  <w:style w:type="paragraph" w:styleId="Lignehorizontale" w:customStyle="1">
    <w:name w:val="Ligne hori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itredetableau" w:customStyle="1">
    <w:name w:val="Titre de tableau"/>
    <w:basedOn w:val="Contenudetableau"/>
    <w:qFormat/>
    <w:pPr/>
    <w:rPr/>
  </w:style>
  <w:style w:type="paragraph" w:styleId="Contenudecadre" w:customStyle="1">
    <w:name w:val="Contenu de cadre"/>
    <w:basedOn w:val="Standard"/>
    <w:qFormat/>
    <w:pPr/>
    <w:rPr/>
  </w:style>
  <w:style w:type="paragraph" w:styleId="NormalWeb">
    <w:name w:val="Normal (Web)"/>
    <w:basedOn w:val="Normal"/>
    <w:uiPriority w:val="99"/>
    <w:unhideWhenUsed/>
    <w:qFormat/>
    <w:rsid w:val="00ac462c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fr-FR" w:bidi="ar-SA"/>
    </w:rPr>
  </w:style>
  <w:style w:type="paragraph" w:styleId="ListBullet">
    <w:name w:val="List Bullet"/>
    <w:basedOn w:val="Normal"/>
    <w:uiPriority w:val="99"/>
    <w:unhideWhenUsed/>
    <w:qFormat/>
    <w:rsid w:val="00e72fad"/>
    <w:pPr>
      <w:spacing w:before="0" w:after="0"/>
      <w:contextualSpacing/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076f1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663d2"/>
    <w:pPr>
      <w:spacing w:before="0" w:after="0"/>
      <w:ind w:left="720" w:hanging="0"/>
      <w:contextualSpacing/>
    </w:pPr>
    <w:rPr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23b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DocSecurity>4</DocSecurity>
  <Pages>2</Pages>
  <Words>217</Words>
  <Characters>1432</Characters>
  <CharactersWithSpaces>1783</CharactersWithSpaces>
  <Paragraphs>61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2022-05-02T16:24:30Z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